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66"/>
      </w:tblGrid>
      <w:tr w:rsidR="00983633" w:rsidRPr="00983633" w:rsidTr="00983633">
        <w:trPr>
          <w:tblCellSpacing w:w="0" w:type="dxa"/>
        </w:trPr>
        <w:tc>
          <w:tcPr>
            <w:tcW w:w="0" w:type="auto"/>
            <w:tcMar>
              <w:top w:w="0" w:type="dxa"/>
              <w:left w:w="180" w:type="dxa"/>
              <w:bottom w:w="0" w:type="dxa"/>
              <w:right w:w="180" w:type="dxa"/>
            </w:tcMar>
            <w:hideMark/>
          </w:tcPr>
          <w:p w:rsidR="00983633" w:rsidRPr="00983633" w:rsidRDefault="00983633" w:rsidP="00983633">
            <w:pPr>
              <w:spacing w:before="100" w:beforeAutospacing="1" w:after="100" w:afterAutospacing="1" w:line="240" w:lineRule="atLeast"/>
              <w:jc w:val="right"/>
              <w:rPr>
                <w:rFonts w:eastAsia="Times New Roman" w:cs="Times New Roman"/>
                <w:szCs w:val="24"/>
              </w:rPr>
            </w:pPr>
          </w:p>
        </w:tc>
      </w:tr>
    </w:tbl>
    <w:p w:rsidR="00983633" w:rsidRPr="00983633" w:rsidRDefault="00983633" w:rsidP="00983633">
      <w:pPr>
        <w:shd w:val="clear" w:color="auto" w:fill="FFFFFF"/>
        <w:spacing w:before="100" w:beforeAutospacing="1" w:after="100" w:afterAutospacing="1" w:line="480" w:lineRule="atLeast"/>
        <w:jc w:val="center"/>
        <w:rPr>
          <w:rFonts w:ascii="Segoe UI" w:eastAsia="Times New Roman" w:hAnsi="Segoe UI" w:cs="Segoe UI"/>
          <w:color w:val="212121"/>
          <w:sz w:val="23"/>
          <w:szCs w:val="23"/>
        </w:rPr>
      </w:pPr>
      <w:r w:rsidRPr="00983633">
        <w:rPr>
          <w:rFonts w:ascii="Times" w:eastAsia="Times New Roman" w:hAnsi="Times" w:cs="Times"/>
          <w:b/>
          <w:bCs/>
          <w:color w:val="000000"/>
          <w:szCs w:val="24"/>
          <w:u w:val="single"/>
        </w:rPr>
        <w:t>Regional Trail Plan Receives Association’s</w:t>
      </w:r>
    </w:p>
    <w:p w:rsidR="00983633" w:rsidRPr="00983633" w:rsidRDefault="00983633" w:rsidP="00983633">
      <w:pPr>
        <w:shd w:val="clear" w:color="auto" w:fill="FFFFFF"/>
        <w:spacing w:before="100" w:beforeAutospacing="1" w:after="100" w:afterAutospacing="1" w:line="480" w:lineRule="atLeast"/>
        <w:jc w:val="center"/>
        <w:rPr>
          <w:rFonts w:ascii="Segoe UI" w:eastAsia="Times New Roman" w:hAnsi="Segoe UI" w:cs="Segoe UI"/>
          <w:color w:val="212121"/>
          <w:sz w:val="23"/>
          <w:szCs w:val="23"/>
        </w:rPr>
      </w:pPr>
      <w:r w:rsidRPr="00983633">
        <w:rPr>
          <w:rFonts w:ascii="Times" w:eastAsia="Times New Roman" w:hAnsi="Times" w:cs="Times"/>
          <w:b/>
          <w:bCs/>
          <w:color w:val="000000"/>
          <w:szCs w:val="24"/>
          <w:u w:val="single"/>
        </w:rPr>
        <w:t>Excellence in Intergovernmental Cooperation Award</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ascii="Times" w:eastAsia="Times New Roman" w:hAnsi="Times" w:cs="Times"/>
          <w:b/>
          <w:bCs/>
          <w:i/>
          <w:iCs/>
          <w:color w:val="000000"/>
          <w:szCs w:val="24"/>
        </w:rPr>
        <w:t> </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eastAsia="Times New Roman" w:cs="Times New Roman"/>
          <w:color w:val="000000"/>
          <w:szCs w:val="24"/>
        </w:rPr>
        <w:t>         Pine and Marshall townships and Bradford Woods Borough in Allegheny County and Adams, Cranberry, and Jackson townships in Butler County received the Excellence in Intergovernmental Cooperation Award during the 96</w:t>
      </w:r>
      <w:r w:rsidRPr="00983633">
        <w:rPr>
          <w:rFonts w:eastAsia="Times New Roman" w:cs="Times New Roman"/>
          <w:color w:val="000000"/>
          <w:szCs w:val="24"/>
          <w:vertAlign w:val="superscript"/>
        </w:rPr>
        <w:t>th</w:t>
      </w:r>
      <w:r w:rsidRPr="00983633">
        <w:rPr>
          <w:rFonts w:eastAsia="Times New Roman" w:cs="Times New Roman"/>
          <w:color w:val="000000"/>
          <w:szCs w:val="24"/>
        </w:rPr>
        <w:t> Annual Educational Conference and Exhibit Show of the Pennsylvania State Association of Township Supervisors (PSATS), held April 22-25, 2018, in Hershey. The award is cosponsored by PSATS and the Pennsylvania Association of Councils of Governments (PACOG). The conference attracted attendees from every county in Pennsylvania except Philadelphia, which has no townships.</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eastAsia="Times New Roman" w:cs="Times New Roman"/>
          <w:color w:val="000000"/>
          <w:szCs w:val="24"/>
        </w:rPr>
        <w:t>         The association established this award to honor communities that are working together to find creative ways to complete projects and provide services more efficiently and cost-effectively.</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eastAsia="Times New Roman" w:cs="Times New Roman"/>
          <w:color w:val="000000"/>
          <w:szCs w:val="24"/>
        </w:rPr>
        <w:t>         The townships were honored for forming a task force to work together on connecting the various trails, sidewalks, parks, and recreational amenities in the individual communities. After working for years on their ow</w:t>
      </w:r>
      <w:bookmarkStart w:id="0" w:name="_GoBack"/>
      <w:bookmarkEnd w:id="0"/>
      <w:r w:rsidRPr="00983633">
        <w:rPr>
          <w:rFonts w:eastAsia="Times New Roman" w:cs="Times New Roman"/>
          <w:color w:val="000000"/>
          <w:szCs w:val="24"/>
        </w:rPr>
        <w:t>n trails, the five townships, along with Bradford Woods Borough in Allegheny County, decided to coordinate efforts and plan a regional trail network where none currently exists.</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eastAsia="Times New Roman" w:cs="Times New Roman"/>
          <w:color w:val="000000"/>
          <w:szCs w:val="24"/>
        </w:rPr>
        <w:t>         The new, multi</w:t>
      </w:r>
      <w:r>
        <w:rPr>
          <w:rFonts w:eastAsia="Times New Roman" w:cs="Times New Roman"/>
          <w:color w:val="000000"/>
          <w:szCs w:val="24"/>
        </w:rPr>
        <w:t>-</w:t>
      </w:r>
      <w:r w:rsidRPr="00983633">
        <w:rPr>
          <w:rFonts w:eastAsia="Times New Roman" w:cs="Times New Roman"/>
          <w:color w:val="000000"/>
          <w:szCs w:val="24"/>
        </w:rPr>
        <w:t>municipal and inter-county trail will be called the Commodore Perry Regional Trail, named after the north-south paralleling corridor Perry Highway (Rt. 19), which in turn is named for 18</w:t>
      </w:r>
      <w:r w:rsidRPr="00983633">
        <w:rPr>
          <w:rFonts w:eastAsia="Times New Roman" w:cs="Times New Roman"/>
          <w:color w:val="000000"/>
          <w:szCs w:val="24"/>
          <w:vertAlign w:val="superscript"/>
        </w:rPr>
        <w:t>th</w:t>
      </w:r>
      <w:r w:rsidRPr="00983633">
        <w:rPr>
          <w:rFonts w:eastAsia="Times New Roman" w:cs="Times New Roman"/>
          <w:color w:val="000000"/>
          <w:szCs w:val="24"/>
        </w:rPr>
        <w:t>-century naval officer Commander Oliver Hazard Perry.</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eastAsia="Times New Roman" w:cs="Times New Roman"/>
          <w:color w:val="000000"/>
          <w:szCs w:val="24"/>
        </w:rPr>
        <w:lastRenderedPageBreak/>
        <w:t>         “The trail route highlights the existing sidewalk and trails of the participating municipalities and the links needed to create a regional trail network,” Larry Kurpakus, Pine Township director of code administration and land development, says. “When completed, the trail will be more than 50 miles long and serve as a spine for ancillary sidewalks, trails, and bikeways. The project will use existing infrastructure as much as possible to accelerate the trail’s development in a smart and efficient manner.”</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eastAsia="Times New Roman" w:cs="Times New Roman"/>
          <w:color w:val="000000"/>
          <w:szCs w:val="24"/>
        </w:rPr>
        <w:t>         The completed trail will connect five municipal parks, as well as commercial districts and regionally significant recreational amenities, including Brush Creek, the Rachel Carson Trail, and Allegheny County’s North Park and its 3,000 acres of open space.</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eastAsia="Times New Roman" w:cs="Times New Roman"/>
          <w:color w:val="000000"/>
          <w:szCs w:val="24"/>
        </w:rPr>
        <w:t>         The long-range plan for the trail includes a secondary network of shorter paths to allow additional neighborhoods and commercial areas to connect to the trail network.</w:t>
      </w:r>
    </w:p>
    <w:p w:rsidR="00983633" w:rsidRPr="00983633" w:rsidRDefault="00983633" w:rsidP="00983633">
      <w:pPr>
        <w:shd w:val="clear" w:color="auto" w:fill="FFFFFF"/>
        <w:spacing w:before="100" w:beforeAutospacing="1" w:after="100" w:afterAutospacing="1" w:line="480" w:lineRule="atLeast"/>
        <w:rPr>
          <w:rFonts w:ascii="Segoe UI" w:eastAsia="Times New Roman" w:hAnsi="Segoe UI" w:cs="Segoe UI"/>
          <w:color w:val="212121"/>
          <w:sz w:val="23"/>
          <w:szCs w:val="23"/>
        </w:rPr>
      </w:pPr>
      <w:r w:rsidRPr="00983633">
        <w:rPr>
          <w:rFonts w:eastAsia="Times New Roman" w:cs="Times New Roman"/>
          <w:color w:val="000000"/>
          <w:szCs w:val="24"/>
        </w:rPr>
        <w:t>         All six of the municipalities adopted the Commodore Perry Regional Trail Plan in 2017, and several of the communities have begun work on some of the trail sections.</w:t>
      </w:r>
    </w:p>
    <w:p w:rsidR="006773A8" w:rsidRDefault="006773A8"/>
    <w:sectPr w:rsidR="00677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33"/>
    <w:rsid w:val="006333EE"/>
    <w:rsid w:val="006773A8"/>
    <w:rsid w:val="00983633"/>
    <w:rsid w:val="00D8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EF9"/>
  <w15:chartTrackingRefBased/>
  <w15:docId w15:val="{F4F17D73-2B49-4CB0-814D-52AE3405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63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983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134807">
      <w:bodyDiv w:val="1"/>
      <w:marLeft w:val="0"/>
      <w:marRight w:val="0"/>
      <w:marTop w:val="0"/>
      <w:marBottom w:val="0"/>
      <w:divBdr>
        <w:top w:val="none" w:sz="0" w:space="0" w:color="auto"/>
        <w:left w:val="none" w:sz="0" w:space="0" w:color="auto"/>
        <w:bottom w:val="none" w:sz="0" w:space="0" w:color="auto"/>
        <w:right w:val="none" w:sz="0" w:space="0" w:color="auto"/>
      </w:divBdr>
      <w:divsChild>
        <w:div w:id="84216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ashcom.alex@gmail.com</dc:creator>
  <cp:keywords/>
  <dc:description/>
  <cp:lastModifiedBy>ashcom.alex@gmail.com</cp:lastModifiedBy>
  <cp:revision>1</cp:revision>
  <dcterms:created xsi:type="dcterms:W3CDTF">2018-06-04T21:34:00Z</dcterms:created>
  <dcterms:modified xsi:type="dcterms:W3CDTF">2018-06-04T21:34:00Z</dcterms:modified>
</cp:coreProperties>
</file>